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FDD2E" w14:textId="77777777" w:rsidR="00F76BA1" w:rsidRDefault="007D753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Programa de Becas de Estímulo a las Vocaciones Científicas (PROBEVOC)</w:t>
      </w:r>
    </w:p>
    <w:p w14:paraId="0F25066E" w14:textId="77777777" w:rsidR="00F76BA1" w:rsidRDefault="007D753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Bases Convocatoria 2025</w:t>
      </w:r>
    </w:p>
    <w:p w14:paraId="1A745FD6" w14:textId="77777777" w:rsidR="00F76BA1" w:rsidRDefault="007D753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“Prioridad a líneas de investigación”</w:t>
      </w:r>
    </w:p>
    <w:p w14:paraId="7D8D5F38" w14:textId="77777777" w:rsidR="00F76BA1" w:rsidRDefault="00F76BA1">
      <w:pPr>
        <w:spacing w:line="360" w:lineRule="auto"/>
        <w:jc w:val="both"/>
        <w:rPr>
          <w:color w:val="FF0000"/>
          <w:sz w:val="28"/>
          <w:szCs w:val="28"/>
        </w:rPr>
      </w:pPr>
    </w:p>
    <w:p w14:paraId="338AD650" w14:textId="77777777" w:rsidR="00F76BA1" w:rsidRDefault="007D7538">
      <w:pPr>
        <w:spacing w:line="360" w:lineRule="auto"/>
        <w:jc w:val="both"/>
      </w:pPr>
      <w:r>
        <w:t>La Secretaría de Investigación y Vinculación Tecnológica e Institucional presenta la convocatoria 2025 del Programa de Becas de Estímulo a las Vocaciones Científicas. En esta ocasión, se asignarán 18 becas de una duración de 10 meses cada una, de las cuale</w:t>
      </w:r>
      <w:r>
        <w:t>s 9 estarán orientadas al apoyo e incentivo para la finalización de tesis, tesinas o trabajos finales; y 9 serán de fomento para la inserción en la investigación. La distribución de estas becas se realizará entre los diferentes departamentos de la Universi</w:t>
      </w:r>
      <w:r>
        <w:t>dad, siguiendo el criterio de distribución establecido en las presentes bases.</w:t>
      </w:r>
    </w:p>
    <w:p w14:paraId="704C9559" w14:textId="77777777" w:rsidR="00F76BA1" w:rsidRDefault="007D7538">
      <w:pPr>
        <w:spacing w:line="360" w:lineRule="auto"/>
        <w:jc w:val="both"/>
      </w:pPr>
      <w:r>
        <w:t xml:space="preserve">Esta convocatoria dará prioridad a las postulaciones que guarden relación con las Líneas de Investigación correspondientes a cada departamento de la Universidad y este criterio </w:t>
      </w:r>
      <w:r>
        <w:t>será valorado en el proceso de evaluación de las presentaciones.</w:t>
      </w:r>
    </w:p>
    <w:p w14:paraId="450A72D0" w14:textId="4449F19A" w:rsidR="00F76BA1" w:rsidRDefault="007D7538">
      <w:pPr>
        <w:spacing w:line="360" w:lineRule="auto"/>
        <w:jc w:val="both"/>
      </w:pPr>
      <w:r>
        <w:t xml:space="preserve">Las becas contarán con financiamiento de los fondos de “Fortalecimiento de ciencia y tecnología en Universidades Nacionales </w:t>
      </w:r>
      <w:r w:rsidR="00225EC7">
        <w:t>2024” RESOL</w:t>
      </w:r>
      <w:r>
        <w:t>-2025-734-APN-SE#MCH</w:t>
      </w:r>
    </w:p>
    <w:p w14:paraId="3CE37C97" w14:textId="77777777" w:rsidR="00F76BA1" w:rsidRDefault="00F76BA1">
      <w:pPr>
        <w:spacing w:line="360" w:lineRule="auto"/>
        <w:jc w:val="center"/>
        <w:rPr>
          <w:highlight w:val="yellow"/>
        </w:rPr>
      </w:pPr>
    </w:p>
    <w:p w14:paraId="7E2F7D53" w14:textId="77777777" w:rsidR="00F76BA1" w:rsidRDefault="007D7538">
      <w:pPr>
        <w:spacing w:line="360" w:lineRule="auto"/>
        <w:jc w:val="center"/>
        <w:rPr>
          <w:b/>
        </w:rPr>
      </w:pPr>
      <w:r>
        <w:rPr>
          <w:b/>
        </w:rPr>
        <w:t>Las presentes bases concuerdan co</w:t>
      </w:r>
      <w:r>
        <w:rPr>
          <w:b/>
        </w:rPr>
        <w:t>n las modificaciones del Reglamento de Becas PROBEVOC (Res. CS N°296/2022)</w:t>
      </w:r>
    </w:p>
    <w:p w14:paraId="7EE7DC80" w14:textId="77777777" w:rsidR="00F76BA1" w:rsidRDefault="00F76BA1">
      <w:pPr>
        <w:spacing w:line="360" w:lineRule="auto"/>
        <w:jc w:val="both"/>
      </w:pPr>
      <w:bookmarkStart w:id="0" w:name="_heading=h.gjdgxs" w:colFirst="0" w:colLast="0"/>
      <w:bookmarkEnd w:id="0"/>
    </w:p>
    <w:p w14:paraId="20030460" w14:textId="77777777" w:rsidR="00F76BA1" w:rsidRDefault="007D7538">
      <w:pPr>
        <w:spacing w:line="360" w:lineRule="auto"/>
        <w:jc w:val="both"/>
        <w:rPr>
          <w:b/>
        </w:rPr>
      </w:pPr>
      <w:r>
        <w:rPr>
          <w:b/>
        </w:rPr>
        <w:t>Descripción de las dos modalidades de becas:</w:t>
      </w:r>
    </w:p>
    <w:p w14:paraId="2ECBA3AE" w14:textId="77777777" w:rsidR="00F76BA1" w:rsidRDefault="007D75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i/>
          <w:color w:val="000000"/>
        </w:rPr>
        <w:t>Becas orientadas para la finalización de tesis/tesinas o trabajos finales:</w:t>
      </w:r>
      <w:r>
        <w:rPr>
          <w:color w:val="000000"/>
        </w:rPr>
        <w:t xml:space="preserve"> Estudiantes</w:t>
      </w:r>
      <w:r>
        <w:t xml:space="preserve"> </w:t>
      </w:r>
      <w:r>
        <w:rPr>
          <w:color w:val="000000"/>
        </w:rPr>
        <w:t>que se encuentren en proceso de producción de te</w:t>
      </w:r>
      <w:r>
        <w:rPr>
          <w:color w:val="000000"/>
        </w:rPr>
        <w:t xml:space="preserve">sis/tesinas o trabajos finales, que puedan </w:t>
      </w:r>
      <w:r>
        <w:rPr>
          <w:color w:val="000000"/>
        </w:rPr>
        <w:lastRenderedPageBreak/>
        <w:t xml:space="preserve">vincularse con proyectos de investigación, grupos de estudio o centros de investigación, acreditados por la Secretaría de Investigación y Vinculación Tecnológica e Institucional. </w:t>
      </w:r>
      <w:r>
        <w:t xml:space="preserve"> </w:t>
      </w:r>
      <w:r>
        <w:rPr>
          <w:b/>
          <w:i/>
        </w:rPr>
        <w:t>Estipendio mensual $55.000 (Pesos</w:t>
      </w:r>
      <w:r>
        <w:rPr>
          <w:b/>
          <w:i/>
        </w:rPr>
        <w:t xml:space="preserve"> cincuenta y cinco mil)</w:t>
      </w:r>
    </w:p>
    <w:p w14:paraId="555304A7" w14:textId="77777777" w:rsidR="00F76BA1" w:rsidRDefault="007D75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i/>
          <w:color w:val="000000"/>
        </w:rPr>
        <w:t xml:space="preserve">Becas orientadas para inserción en la investigación: </w:t>
      </w:r>
      <w:r>
        <w:rPr>
          <w:color w:val="000000"/>
        </w:rPr>
        <w:t>Estudiantes con más de la mitad de la carrera aprobada, que desarrollen tareas de apoyo o asistencia a la investigación en el marco de un proyecto de investigación, grupo de estud</w:t>
      </w:r>
      <w:r>
        <w:rPr>
          <w:color w:val="000000"/>
        </w:rPr>
        <w:t xml:space="preserve">io o centro de investigación, acreditados por la Secretaría de Investigación y Vinculación Tecnológica e Institucional. </w:t>
      </w:r>
      <w:r>
        <w:rPr>
          <w:b/>
          <w:i/>
          <w:color w:val="000000"/>
        </w:rPr>
        <w:t>Estipendio mensual $55.000 (Pesos cincuenta y cinco mil)</w:t>
      </w:r>
    </w:p>
    <w:p w14:paraId="6CE66E94" w14:textId="77777777" w:rsidR="00F76BA1" w:rsidRDefault="007D7538">
      <w:pPr>
        <w:spacing w:line="360" w:lineRule="auto"/>
        <w:ind w:left="283"/>
        <w:jc w:val="both"/>
      </w:pPr>
      <w:r>
        <w:rPr>
          <w:b/>
        </w:rPr>
        <w:t>Criterio de distribución:</w:t>
      </w:r>
    </w:p>
    <w:p w14:paraId="5F2D23E4" w14:textId="77777777" w:rsidR="00F76BA1" w:rsidRDefault="007D7538">
      <w:pPr>
        <w:numPr>
          <w:ilvl w:val="0"/>
          <w:numId w:val="2"/>
        </w:numPr>
        <w:spacing w:line="360" w:lineRule="auto"/>
        <w:jc w:val="both"/>
      </w:pPr>
      <w:r>
        <w:t>En una primera instancia, se designará tres becas para cada departamento de la Universidad. En el caso de que un departamento o más no tenga estudiantes postulados o la evaluación de los candidatos obtenga un puntaje por debajo de los 60 puntos, dicha/s be</w:t>
      </w:r>
      <w:r>
        <w:t xml:space="preserve">ca/s será/n asignada/s a la/s persona/s que, en el orden de mérito general, tenga el puntaje más alto, independientemente de que ya haya sido asignada una beca a ese departamento. </w:t>
      </w:r>
    </w:p>
    <w:p w14:paraId="61C6D30B" w14:textId="77777777" w:rsidR="00F76BA1" w:rsidRDefault="007D7538">
      <w:pPr>
        <w:spacing w:line="360" w:lineRule="auto"/>
        <w:jc w:val="both"/>
        <w:rPr>
          <w:b/>
        </w:rPr>
      </w:pPr>
      <w:r>
        <w:rPr>
          <w:i/>
          <w:sz w:val="20"/>
          <w:szCs w:val="20"/>
        </w:rPr>
        <w:t xml:space="preserve">  </w:t>
      </w:r>
    </w:p>
    <w:p w14:paraId="239B3872" w14:textId="77777777" w:rsidR="00F76BA1" w:rsidRDefault="007D7538">
      <w:pPr>
        <w:spacing w:line="360" w:lineRule="auto"/>
        <w:jc w:val="both"/>
      </w:pPr>
      <w:r>
        <w:rPr>
          <w:b/>
          <w:i/>
        </w:rPr>
        <w:t xml:space="preserve">Importante: </w:t>
      </w:r>
    </w:p>
    <w:p w14:paraId="14D13307" w14:textId="77777777" w:rsidR="00F76BA1" w:rsidRDefault="007D7538">
      <w:pPr>
        <w:spacing w:line="360" w:lineRule="auto"/>
        <w:jc w:val="both"/>
        <w:rPr>
          <w:b/>
          <w:i/>
        </w:rPr>
      </w:pPr>
      <w:r>
        <w:rPr>
          <w:b/>
          <w:i/>
        </w:rPr>
        <w:t>No podrán participar en ninguna instancia de esta convocato</w:t>
      </w:r>
      <w:r>
        <w:rPr>
          <w:b/>
          <w:i/>
        </w:rPr>
        <w:t>ria quienes hayan protagonizado situaciones u hechos considerados como faltas en el ‘Protocolo de intervención ante situaciones de violencia de género, acoso sexual y discriminación por identidad de género y/o vivencia de la sexualidad’ de la Universidad N</w:t>
      </w:r>
      <w:r>
        <w:rPr>
          <w:b/>
          <w:i/>
        </w:rPr>
        <w:t>acional de Avellaneda (Res. CS 040/2018).</w:t>
      </w:r>
    </w:p>
    <w:p w14:paraId="389F3D34" w14:textId="77777777" w:rsidR="00F76BA1" w:rsidRDefault="007D7538">
      <w:pPr>
        <w:spacing w:line="360" w:lineRule="auto"/>
        <w:jc w:val="both"/>
        <w:rPr>
          <w:b/>
        </w:rPr>
      </w:pPr>
      <w:r>
        <w:rPr>
          <w:b/>
        </w:rPr>
        <w:t xml:space="preserve">No serán admitidas las postulaciones de personas que ya tengan asignada otra beca de investigación y no podrán renunciar a la beca asignada para obtener las PROBEVOC 2025. </w:t>
      </w:r>
    </w:p>
    <w:p w14:paraId="4FFBCD6E" w14:textId="77777777" w:rsidR="00F76BA1" w:rsidRDefault="007D7538">
      <w:pPr>
        <w:spacing w:line="360" w:lineRule="auto"/>
        <w:jc w:val="both"/>
        <w:rPr>
          <w:b/>
        </w:rPr>
      </w:pPr>
      <w:r>
        <w:rPr>
          <w:b/>
        </w:rPr>
        <w:t>Los proyectos de investigación en los que</w:t>
      </w:r>
      <w:r>
        <w:rPr>
          <w:b/>
        </w:rPr>
        <w:t xml:space="preserve"> se enmarquen las presentaciones a esta Convocatoria, deben encontrarse activos al 01 de octubre de 2025 y contar con período de </w:t>
      </w:r>
      <w:r>
        <w:rPr>
          <w:b/>
        </w:rPr>
        <w:lastRenderedPageBreak/>
        <w:t>implementación hasta el 01 de noviembre de 2026, de acuerdo a su cronograma de trabajo acreditado en la Secretaría de Investiga</w:t>
      </w:r>
      <w:r>
        <w:rPr>
          <w:b/>
        </w:rPr>
        <w:t>ción y Vinculación Tecnológica e Institucional.</w:t>
      </w:r>
    </w:p>
    <w:p w14:paraId="0A04D120" w14:textId="77777777" w:rsidR="00F76BA1" w:rsidRDefault="007D7538">
      <w:pPr>
        <w:spacing w:line="360" w:lineRule="auto"/>
        <w:jc w:val="both"/>
        <w:rPr>
          <w:b/>
        </w:rPr>
      </w:pPr>
      <w:r>
        <w:rPr>
          <w:b/>
        </w:rPr>
        <w:t>Cronograma de la convocatoria:</w:t>
      </w:r>
    </w:p>
    <w:p w14:paraId="75D77C22" w14:textId="77777777" w:rsidR="00F76BA1" w:rsidRDefault="007D7538">
      <w:pPr>
        <w:spacing w:line="360" w:lineRule="auto"/>
        <w:jc w:val="both"/>
      </w:pPr>
      <w:r>
        <w:t xml:space="preserve">01/10/2025 - Apertura de convocatoria a las 10 </w:t>
      </w:r>
      <w:proofErr w:type="spellStart"/>
      <w:r>
        <w:t>hs</w:t>
      </w:r>
      <w:proofErr w:type="spellEnd"/>
      <w:r>
        <w:t xml:space="preserve">. </w:t>
      </w:r>
    </w:p>
    <w:p w14:paraId="66C21770" w14:textId="77777777" w:rsidR="00F76BA1" w:rsidRDefault="007D7538">
      <w:pPr>
        <w:spacing w:line="360" w:lineRule="auto"/>
        <w:jc w:val="both"/>
      </w:pPr>
      <w:r>
        <w:t xml:space="preserve">20/10/2025 - Cierre de convocatoria a las 17 </w:t>
      </w:r>
      <w:proofErr w:type="spellStart"/>
      <w:r>
        <w:t>hs</w:t>
      </w:r>
      <w:proofErr w:type="spellEnd"/>
      <w:r>
        <w:t>.</w:t>
      </w:r>
    </w:p>
    <w:p w14:paraId="3F0A23E4" w14:textId="77777777" w:rsidR="00F76BA1" w:rsidRDefault="007D7538">
      <w:pPr>
        <w:spacing w:line="360" w:lineRule="auto"/>
        <w:jc w:val="both"/>
      </w:pPr>
      <w:r>
        <w:t>21/10 al 24/10 - Confección de Acta de Cierre con listado de postulaciones p</w:t>
      </w:r>
      <w:r>
        <w:t>resentadas. Admisibilidad</w:t>
      </w:r>
    </w:p>
    <w:p w14:paraId="030FB381" w14:textId="77777777" w:rsidR="00F76BA1" w:rsidRDefault="007D7538">
      <w:pPr>
        <w:spacing w:line="360" w:lineRule="auto"/>
        <w:jc w:val="both"/>
      </w:pPr>
      <w:r>
        <w:t xml:space="preserve">27/10 al 27/11 - Convocatoria al Consejo Asesor - Evaluación </w:t>
      </w:r>
    </w:p>
    <w:p w14:paraId="0C660EE5" w14:textId="77777777" w:rsidR="00F76BA1" w:rsidRDefault="007D7538">
      <w:pPr>
        <w:spacing w:line="360" w:lineRule="auto"/>
        <w:jc w:val="both"/>
      </w:pPr>
      <w:r>
        <w:t>01/12/2025- Postulación de resultados.</w:t>
      </w:r>
    </w:p>
    <w:p w14:paraId="42560F0E" w14:textId="77777777" w:rsidR="00F76BA1" w:rsidRDefault="007D7538">
      <w:pPr>
        <w:spacing w:line="360" w:lineRule="auto"/>
        <w:jc w:val="both"/>
      </w:pPr>
      <w:r>
        <w:t xml:space="preserve">02/12 al 09/12 - Presentaciones de pedidos de Reconsideración </w:t>
      </w:r>
    </w:p>
    <w:p w14:paraId="7A8C6ED4" w14:textId="77777777" w:rsidR="00F76BA1" w:rsidRDefault="007D7538">
      <w:pPr>
        <w:spacing w:line="360" w:lineRule="auto"/>
        <w:jc w:val="both"/>
      </w:pPr>
      <w:r>
        <w:t>10/12 al 17/12 - Período de reconsideración del Consejo Asesor.</w:t>
      </w:r>
    </w:p>
    <w:p w14:paraId="7884BB5D" w14:textId="77777777" w:rsidR="00F76BA1" w:rsidRDefault="007D7538">
      <w:pPr>
        <w:spacing w:line="360" w:lineRule="auto"/>
        <w:jc w:val="both"/>
      </w:pPr>
      <w:r>
        <w:t>18/12 - Publicación de resultados de Reconsideración.</w:t>
      </w:r>
    </w:p>
    <w:p w14:paraId="1714E4D6" w14:textId="77777777" w:rsidR="00F76BA1" w:rsidRDefault="007D7538">
      <w:pPr>
        <w:spacing w:line="360" w:lineRule="auto"/>
        <w:jc w:val="both"/>
      </w:pPr>
      <w:r>
        <w:t>22/12/25 - Publicación de Resultados Definitivos</w:t>
      </w:r>
    </w:p>
    <w:p w14:paraId="179B9793" w14:textId="77777777" w:rsidR="00F76BA1" w:rsidRDefault="007D7538">
      <w:pPr>
        <w:spacing w:line="360" w:lineRule="auto"/>
        <w:jc w:val="both"/>
      </w:pPr>
      <w:r>
        <w:t>23/12 al 30/12 - Presentación de la documentación complementaria</w:t>
      </w:r>
    </w:p>
    <w:p w14:paraId="47128DDC" w14:textId="77777777" w:rsidR="00F76BA1" w:rsidRDefault="007D7538">
      <w:pPr>
        <w:spacing w:line="360" w:lineRule="auto"/>
        <w:jc w:val="both"/>
      </w:pPr>
      <w:r>
        <w:t xml:space="preserve">01/01 al 06/02/2026 - Presentación de bajas y renuncias. </w:t>
      </w:r>
    </w:p>
    <w:p w14:paraId="2DD91840" w14:textId="77777777" w:rsidR="00F76BA1" w:rsidRDefault="007D7538">
      <w:pPr>
        <w:spacing w:line="360" w:lineRule="auto"/>
        <w:jc w:val="both"/>
      </w:pPr>
      <w:r>
        <w:t>09/02/2026 - Inicio de las bec</w:t>
      </w:r>
      <w:r>
        <w:t>as</w:t>
      </w:r>
    </w:p>
    <w:p w14:paraId="7C84153B" w14:textId="77777777" w:rsidR="00F76BA1" w:rsidRDefault="007D7538">
      <w:pPr>
        <w:spacing w:line="360" w:lineRule="auto"/>
        <w:jc w:val="both"/>
      </w:pPr>
      <w:r>
        <w:t>08/11/2026 - Finalización de las becas</w:t>
      </w:r>
    </w:p>
    <w:p w14:paraId="722F6B4C" w14:textId="77777777" w:rsidR="00F76BA1" w:rsidRDefault="007D7538">
      <w:pPr>
        <w:spacing w:line="360" w:lineRule="auto"/>
        <w:jc w:val="both"/>
      </w:pPr>
      <w:r>
        <w:t>9/12/2026 - Presentación de los informes finales</w:t>
      </w:r>
    </w:p>
    <w:sectPr w:rsidR="00F76BA1">
      <w:headerReference w:type="default" r:id="rId8"/>
      <w:footerReference w:type="default" r:id="rId9"/>
      <w:pgSz w:w="11907" w:h="16839"/>
      <w:pgMar w:top="2977" w:right="1276" w:bottom="1985" w:left="2127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C320B" w14:textId="77777777" w:rsidR="007D7538" w:rsidRDefault="007D7538">
      <w:pPr>
        <w:spacing w:after="0" w:line="240" w:lineRule="auto"/>
      </w:pPr>
      <w:r>
        <w:separator/>
      </w:r>
    </w:p>
  </w:endnote>
  <w:endnote w:type="continuationSeparator" w:id="0">
    <w:p w14:paraId="644C6DA8" w14:textId="77777777" w:rsidR="007D7538" w:rsidRDefault="007D7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3CCBB" w14:textId="77777777" w:rsidR="00F76BA1" w:rsidRDefault="007D753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193C2470" wp14:editId="334E8B5E">
          <wp:simplePos x="0" y="0"/>
          <wp:positionH relativeFrom="column">
            <wp:posOffset>4587240</wp:posOffset>
          </wp:positionH>
          <wp:positionV relativeFrom="paragraph">
            <wp:posOffset>-8887</wp:posOffset>
          </wp:positionV>
          <wp:extent cx="791845" cy="173355"/>
          <wp:effectExtent l="0" t="0" r="0" b="0"/>
          <wp:wrapNone/>
          <wp:docPr id="36" name="image1.jpg" descr="we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web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845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67457534" wp14:editId="6EAE46D8">
              <wp:simplePos x="0" y="0"/>
              <wp:positionH relativeFrom="column">
                <wp:posOffset>-546099</wp:posOffset>
              </wp:positionH>
              <wp:positionV relativeFrom="paragraph">
                <wp:posOffset>-101599</wp:posOffset>
              </wp:positionV>
              <wp:extent cx="4591050" cy="458470"/>
              <wp:effectExtent l="0" t="0" r="0" b="0"/>
              <wp:wrapNone/>
              <wp:docPr id="33" name="Rectángul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64763" y="3565053"/>
                        <a:ext cx="4562475" cy="429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1190BC" w14:textId="77777777" w:rsidR="00F76BA1" w:rsidRDefault="007D7538">
                          <w:pPr>
                            <w:spacing w:after="0" w:line="18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8585A"/>
                              <w:sz w:val="15"/>
                            </w:rPr>
                            <w:t>General Arenales 320 - (B1870BWH) Avellaneda, Provincia de Buenos Aires, República Argentina</w:t>
                          </w:r>
                        </w:p>
                        <w:p w14:paraId="47EA2B34" w14:textId="77777777" w:rsidR="00F76BA1" w:rsidRDefault="007D7538">
                          <w:pPr>
                            <w:spacing w:after="0" w:line="18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8585A"/>
                              <w:sz w:val="15"/>
                            </w:rPr>
                            <w:t>Tel.: (54 11) 5436-7581 | investigacionyvinculacion@undav.edu.ar</w:t>
                          </w:r>
                        </w:p>
                        <w:p w14:paraId="7D88387D" w14:textId="77777777" w:rsidR="00F76BA1" w:rsidRDefault="00F76BA1">
                          <w:pPr>
                            <w:spacing w:after="0" w:line="18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-546099</wp:posOffset>
              </wp:positionH>
              <wp:positionV relativeFrom="paragraph">
                <wp:posOffset>-101599</wp:posOffset>
              </wp:positionV>
              <wp:extent cx="4591050" cy="458470"/>
              <wp:effectExtent b="0" l="0" r="0" t="0"/>
              <wp:wrapNone/>
              <wp:docPr id="3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91050" cy="4584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2EE0CF72" wp14:editId="01830F60">
              <wp:simplePos x="0" y="0"/>
              <wp:positionH relativeFrom="column">
                <wp:posOffset>-546099</wp:posOffset>
              </wp:positionH>
              <wp:positionV relativeFrom="paragraph">
                <wp:posOffset>-63499</wp:posOffset>
              </wp:positionV>
              <wp:extent cx="46355" cy="255270"/>
              <wp:effectExtent l="0" t="0" r="0" b="0"/>
              <wp:wrapNone/>
              <wp:docPr id="34" name="Rectángulo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7110" y="3666653"/>
                        <a:ext cx="17780" cy="226695"/>
                      </a:xfrm>
                      <a:prstGeom prst="rect">
                        <a:avLst/>
                      </a:prstGeom>
                      <a:solidFill>
                        <a:srgbClr val="C6C7C8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15BE1A" w14:textId="77777777" w:rsidR="00F76BA1" w:rsidRDefault="00F76BA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-546099</wp:posOffset>
              </wp:positionH>
              <wp:positionV relativeFrom="paragraph">
                <wp:posOffset>-63499</wp:posOffset>
              </wp:positionV>
              <wp:extent cx="46355" cy="255270"/>
              <wp:effectExtent b="0" l="0" r="0" t="0"/>
              <wp:wrapNone/>
              <wp:docPr id="3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355" cy="2552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D31F6AD" w14:textId="77777777" w:rsidR="00F76BA1" w:rsidRDefault="00F76BA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53103" w14:textId="77777777" w:rsidR="007D7538" w:rsidRDefault="007D7538">
      <w:pPr>
        <w:spacing w:after="0" w:line="240" w:lineRule="auto"/>
      </w:pPr>
      <w:r>
        <w:separator/>
      </w:r>
    </w:p>
  </w:footnote>
  <w:footnote w:type="continuationSeparator" w:id="0">
    <w:p w14:paraId="24F636E6" w14:textId="77777777" w:rsidR="007D7538" w:rsidRDefault="007D7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0AC6" w14:textId="77777777" w:rsidR="00F76BA1" w:rsidRDefault="007D753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332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0C688AE" wp14:editId="7B765040">
          <wp:simplePos x="0" y="0"/>
          <wp:positionH relativeFrom="column">
            <wp:posOffset>-551176</wp:posOffset>
          </wp:positionH>
          <wp:positionV relativeFrom="paragraph">
            <wp:posOffset>0</wp:posOffset>
          </wp:positionV>
          <wp:extent cx="645160" cy="792480"/>
          <wp:effectExtent l="0" t="0" r="0" b="0"/>
          <wp:wrapNone/>
          <wp:docPr id="35" name="image2.jpg" descr="logoundav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undav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5160" cy="792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4F1ADAD" wp14:editId="46A0743A">
              <wp:simplePos x="0" y="0"/>
              <wp:positionH relativeFrom="column">
                <wp:posOffset>215900</wp:posOffset>
              </wp:positionH>
              <wp:positionV relativeFrom="paragraph">
                <wp:posOffset>393700</wp:posOffset>
              </wp:positionV>
              <wp:extent cx="2941320" cy="348615"/>
              <wp:effectExtent l="0" t="0" r="0" b="0"/>
              <wp:wrapNone/>
              <wp:docPr id="32" name="Rectángul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89628" y="3619980"/>
                        <a:ext cx="291274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F189E1" w14:textId="77777777" w:rsidR="00F76BA1" w:rsidRDefault="007D7538">
                          <w:pPr>
                            <w:spacing w:after="0" w:line="18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8585A"/>
                              <w:sz w:val="15"/>
                            </w:rPr>
                            <w:t xml:space="preserve">Secretaría de Investigación y Vinculación </w:t>
                          </w:r>
                        </w:p>
                        <w:p w14:paraId="1C433277" w14:textId="77777777" w:rsidR="00F76BA1" w:rsidRDefault="007D7538">
                          <w:pPr>
                            <w:spacing w:after="0" w:line="18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8585A"/>
                              <w:sz w:val="15"/>
                            </w:rPr>
                            <w:t>Tecnológica e Institucional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</wp:posOffset>
              </wp:positionH>
              <wp:positionV relativeFrom="paragraph">
                <wp:posOffset>393700</wp:posOffset>
              </wp:positionV>
              <wp:extent cx="2941320" cy="348615"/>
              <wp:effectExtent b="0" l="0" r="0" t="0"/>
              <wp:wrapNone/>
              <wp:docPr id="3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41320" cy="3486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1497BF9F" wp14:editId="1C9EF57B">
              <wp:simplePos x="0" y="0"/>
              <wp:positionH relativeFrom="column">
                <wp:posOffset>190500</wp:posOffset>
              </wp:positionH>
              <wp:positionV relativeFrom="paragraph">
                <wp:posOffset>431800</wp:posOffset>
              </wp:positionV>
              <wp:extent cx="46355" cy="255270"/>
              <wp:effectExtent l="0" t="0" r="0" b="0"/>
              <wp:wrapNone/>
              <wp:docPr id="31" name="Rectángul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7110" y="3666653"/>
                        <a:ext cx="17780" cy="226695"/>
                      </a:xfrm>
                      <a:prstGeom prst="rect">
                        <a:avLst/>
                      </a:prstGeom>
                      <a:solidFill>
                        <a:srgbClr val="C6C7C8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30A7EE" w14:textId="77777777" w:rsidR="00F76BA1" w:rsidRDefault="00F76BA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431800</wp:posOffset>
              </wp:positionV>
              <wp:extent cx="46355" cy="255270"/>
              <wp:effectExtent b="0" l="0" r="0" t="0"/>
              <wp:wrapNone/>
              <wp:docPr id="3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355" cy="2552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2187E"/>
    <w:multiLevelType w:val="multilevel"/>
    <w:tmpl w:val="7FB481AA"/>
    <w:lvl w:ilvl="0">
      <w:start w:val="1"/>
      <w:numFmt w:val="bullet"/>
      <w:lvlText w:val="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A8E1B67"/>
    <w:multiLevelType w:val="multilevel"/>
    <w:tmpl w:val="EDF0BF96"/>
    <w:lvl w:ilvl="0">
      <w:start w:val="1"/>
      <w:numFmt w:val="bullet"/>
      <w:lvlText w:val="➔"/>
      <w:lvlJc w:val="left"/>
      <w:pPr>
        <w:ind w:left="708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BA1"/>
    <w:rsid w:val="00225EC7"/>
    <w:rsid w:val="007D7538"/>
    <w:rsid w:val="00F7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4E8B"/>
  <w15:docId w15:val="{4765E232-55F0-4FDA-B991-4FCB7F7D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1"/>
    <w:rsid w:val="004B5623"/>
  </w:style>
  <w:style w:type="table" w:customStyle="1" w:styleId="TableNormal0">
    <w:name w:val="Table Normal"/>
    <w:rsid w:val="004B56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4B5623"/>
  </w:style>
  <w:style w:type="table" w:customStyle="1" w:styleId="TableNormal1">
    <w:name w:val="Table Normal"/>
    <w:rsid w:val="004B56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/>
    <w:unhideWhenUsed/>
    <w:rsid w:val="00DF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350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785B88"/>
    <w:rPr>
      <w:b/>
      <w:bCs/>
    </w:rPr>
  </w:style>
  <w:style w:type="table" w:styleId="Tablaconcuadrcula">
    <w:name w:val="Table Grid"/>
    <w:basedOn w:val="Tablanormal"/>
    <w:uiPriority w:val="59"/>
    <w:rsid w:val="00D22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6462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473C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024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24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24B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24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24BB"/>
    <w:rPr>
      <w:b/>
      <w:bCs/>
      <w:lang w:eastAsia="en-US"/>
    </w:rPr>
  </w:style>
  <w:style w:type="paragraph" w:styleId="Revisin">
    <w:name w:val="Revision"/>
    <w:hidden/>
    <w:uiPriority w:val="99"/>
    <w:semiHidden/>
    <w:rsid w:val="00B55D2B"/>
    <w:rPr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i4Q0OzHcDzOKfWAmQLwEp0jgiQ==">CgMxLjAyCGguZ2pkZ3hzOAByITFDbFEwcXRwZzkzWGk2Y2huaGtSVi1WWDJvbU1IMDctRQ==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mfried</dc:creator>
  <cp:lastModifiedBy>Belen Ledesma</cp:lastModifiedBy>
  <cp:revision>2</cp:revision>
  <dcterms:created xsi:type="dcterms:W3CDTF">2025-06-19T15:13:00Z</dcterms:created>
  <dcterms:modified xsi:type="dcterms:W3CDTF">2025-08-12T18:01:00Z</dcterms:modified>
</cp:coreProperties>
</file>